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794C24" w14:paraId="37782934" w14:textId="77777777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</w:tcPr>
          <w:p w14:paraId="39B38814" w14:textId="77777777" w:rsidR="00794C24" w:rsidRDefault="008C5D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794C24" w14:paraId="5BB7A6F3" w14:textId="77777777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</w:tcPr>
          <w:p w14:paraId="17D183BD" w14:textId="77777777" w:rsidR="00794C24" w:rsidRDefault="008C5DD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794C24" w14:paraId="6B6CAFD8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F8CA872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4226F408" w14:textId="29E4EECD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OHL41900002</w:t>
            </w:r>
          </w:p>
        </w:tc>
      </w:tr>
      <w:tr w:rsidR="00794C24" w14:paraId="5340E4A3" w14:textId="77777777">
        <w:trPr>
          <w:trHeight w:val="299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43A2E29C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</w:tcPr>
          <w:p w14:paraId="5ADC5F4D" w14:textId="77777777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Vodní nádrž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Mukoděly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(OHL219001)</w:t>
            </w:r>
          </w:p>
        </w:tc>
      </w:tr>
      <w:tr w:rsidR="00794C24" w14:paraId="488F27C8" w14:textId="77777777">
        <w:trPr>
          <w:trHeight w:val="600"/>
        </w:trPr>
        <w:tc>
          <w:tcPr>
            <w:tcW w:w="2972" w:type="dxa"/>
            <w:vAlign w:val="center"/>
          </w:tcPr>
          <w:p w14:paraId="7B902EFB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</w:tcPr>
          <w:p w14:paraId="6567575B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002</w:t>
            </w:r>
          </w:p>
        </w:tc>
      </w:tr>
      <w:tr w:rsidR="00794C24" w14:paraId="4168CE14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6F608CF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Podkapitola v kapitole VI.1 PDP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7BCCF48" w14:textId="77777777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794C24" w14:paraId="24E45E9A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CB6B5B2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865651A" w14:textId="77777777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794C24" w14:paraId="742D852C" w14:textId="77777777">
        <w:trPr>
          <w:trHeight w:val="378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680E10B6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7EA3FCFD" w14:textId="77777777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OHL_0630</w:t>
            </w:r>
          </w:p>
        </w:tc>
      </w:tr>
      <w:tr w:rsidR="00794C24" w14:paraId="6C2C0ACA" w14:textId="77777777">
        <w:trPr>
          <w:trHeight w:val="411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115ACE37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63A5D6BD" w14:textId="77777777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Blšanka od pramene po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Očihovecký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potok</w:t>
            </w:r>
          </w:p>
        </w:tc>
      </w:tr>
      <w:tr w:rsidR="00794C24" w14:paraId="173AB771" w14:textId="77777777">
        <w:trPr>
          <w:trHeight w:val="300"/>
        </w:trPr>
        <w:tc>
          <w:tcPr>
            <w:tcW w:w="2972" w:type="dxa"/>
            <w:vAlign w:val="center"/>
          </w:tcPr>
          <w:p w14:paraId="70A6EA6E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4E7C7253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794C24" w14:paraId="010198E4" w14:textId="77777777">
        <w:trPr>
          <w:trHeight w:val="300"/>
        </w:trPr>
        <w:tc>
          <w:tcPr>
            <w:tcW w:w="2972" w:type="dxa"/>
            <w:vAlign w:val="center"/>
          </w:tcPr>
          <w:p w14:paraId="429C22FF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</w:tcPr>
          <w:p w14:paraId="7AF76C45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794C24" w14:paraId="080A6271" w14:textId="77777777">
        <w:trPr>
          <w:trHeight w:val="300"/>
        </w:trPr>
        <w:tc>
          <w:tcPr>
            <w:tcW w:w="2972" w:type="dxa"/>
            <w:vAlign w:val="center"/>
          </w:tcPr>
          <w:p w14:paraId="35532631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51ECE497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Vroutek</w:t>
            </w:r>
          </w:p>
        </w:tc>
      </w:tr>
      <w:tr w:rsidR="00794C24" w14:paraId="1CC19774" w14:textId="77777777">
        <w:trPr>
          <w:trHeight w:val="300"/>
        </w:trPr>
        <w:tc>
          <w:tcPr>
            <w:tcW w:w="2972" w:type="dxa"/>
            <w:vAlign w:val="center"/>
          </w:tcPr>
          <w:p w14:paraId="116F424D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744F2EC1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Vroutek,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Mukoděly</w:t>
            </w:r>
            <w:proofErr w:type="spellEnd"/>
          </w:p>
        </w:tc>
      </w:tr>
      <w:tr w:rsidR="00794C24" w14:paraId="3FDB1590" w14:textId="77777777">
        <w:trPr>
          <w:trHeight w:val="300"/>
        </w:trPr>
        <w:tc>
          <w:tcPr>
            <w:tcW w:w="2972" w:type="dxa"/>
            <w:vAlign w:val="center"/>
          </w:tcPr>
          <w:p w14:paraId="49DC0200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noWrap/>
            <w:vAlign w:val="center"/>
          </w:tcPr>
          <w:p w14:paraId="18459112" w14:textId="7A3A82C0" w:rsidR="00794C24" w:rsidRDefault="00CF28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Pr="00CF28B1">
              <w:rPr>
                <w:rFonts w:ascii="Arial" w:hAnsi="Arial" w:cs="Arial"/>
                <w:sz w:val="20"/>
                <w:szCs w:val="20"/>
              </w:rPr>
              <w:t>-813401</w:t>
            </w:r>
            <w:r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CF28B1">
              <w:rPr>
                <w:rFonts w:ascii="Arial" w:hAnsi="Arial" w:cs="Arial"/>
                <w:sz w:val="20"/>
                <w:szCs w:val="20"/>
              </w:rPr>
              <w:t>-814361</w:t>
            </w:r>
          </w:p>
        </w:tc>
      </w:tr>
      <w:tr w:rsidR="00794C24" w14:paraId="08BE6193" w14:textId="77777777">
        <w:trPr>
          <w:trHeight w:val="300"/>
        </w:trPr>
        <w:tc>
          <w:tcPr>
            <w:tcW w:w="2972" w:type="dxa"/>
            <w:vAlign w:val="center"/>
          </w:tcPr>
          <w:p w14:paraId="52D70DBA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noWrap/>
            <w:vAlign w:val="center"/>
          </w:tcPr>
          <w:p w14:paraId="1F367F4D" w14:textId="0B870B8B" w:rsidR="00794C24" w:rsidRDefault="00CF28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Od </w:t>
            </w:r>
            <w:r w:rsidRPr="00CF28B1">
              <w:rPr>
                <w:rFonts w:ascii="Arial" w:hAnsi="Arial" w:cs="Arial"/>
                <w:sz w:val="20"/>
                <w:szCs w:val="20"/>
              </w:rPr>
              <w:t>-10249</w:t>
            </w:r>
            <w:r w:rsidR="003900C3">
              <w:rPr>
                <w:rFonts w:ascii="Arial" w:hAnsi="Arial" w:cs="Arial"/>
                <w:sz w:val="20"/>
                <w:szCs w:val="20"/>
              </w:rPr>
              <w:t>64</w:t>
            </w:r>
            <w:r>
              <w:rPr>
                <w:rFonts w:ascii="Arial" w:hAnsi="Arial" w:cs="Arial"/>
                <w:sz w:val="20"/>
                <w:szCs w:val="20"/>
              </w:rPr>
              <w:t xml:space="preserve"> do </w:t>
            </w:r>
            <w:r w:rsidRPr="00CF28B1">
              <w:rPr>
                <w:rFonts w:ascii="Arial" w:hAnsi="Arial" w:cs="Arial"/>
                <w:sz w:val="20"/>
                <w:szCs w:val="20"/>
              </w:rPr>
              <w:t>1025713</w:t>
            </w:r>
          </w:p>
        </w:tc>
      </w:tr>
      <w:tr w:rsidR="00794C24" w14:paraId="5180A8E3" w14:textId="77777777">
        <w:trPr>
          <w:trHeight w:val="300"/>
        </w:trPr>
        <w:tc>
          <w:tcPr>
            <w:tcW w:w="2972" w:type="dxa"/>
            <w:vAlign w:val="center"/>
          </w:tcPr>
          <w:p w14:paraId="0AB20B83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</w:tcPr>
          <w:p w14:paraId="6B706286" w14:textId="693613A5" w:rsidR="00794C24" w:rsidRDefault="00CF28B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31,3 do 33,4</w:t>
            </w:r>
          </w:p>
        </w:tc>
      </w:tr>
      <w:tr w:rsidR="00794C24" w14:paraId="19048FB0" w14:textId="77777777">
        <w:trPr>
          <w:trHeight w:val="300"/>
        </w:trPr>
        <w:tc>
          <w:tcPr>
            <w:tcW w:w="2972" w:type="dxa"/>
            <w:vAlign w:val="center"/>
          </w:tcPr>
          <w:p w14:paraId="4FDBF032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439A7EF0" w14:textId="28C70605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74CFF2DD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F0905E3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833C315" w14:textId="77777777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794C24" w14:paraId="213C9C72" w14:textId="77777777">
        <w:trPr>
          <w:trHeight w:val="300"/>
        </w:trPr>
        <w:tc>
          <w:tcPr>
            <w:tcW w:w="2972" w:type="dxa"/>
            <w:vAlign w:val="center"/>
          </w:tcPr>
          <w:p w14:paraId="68A4FA66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</w:tcPr>
          <w:p w14:paraId="1C270D79" w14:textId="7777777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4DDE51AF" w14:textId="77777777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</w:tcPr>
          <w:p w14:paraId="2D4A91D0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20C8AE95" w14:textId="77777777" w:rsidR="00794C24" w:rsidRDefault="008C5DD8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794C24" w14:paraId="7A4A7DF7" w14:textId="77777777">
        <w:trPr>
          <w:trHeight w:val="412"/>
        </w:trPr>
        <w:tc>
          <w:tcPr>
            <w:tcW w:w="2972" w:type="dxa"/>
            <w:vAlign w:val="center"/>
          </w:tcPr>
          <w:p w14:paraId="64F09252" w14:textId="77777777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1</w:t>
            </w:r>
          </w:p>
        </w:tc>
        <w:tc>
          <w:tcPr>
            <w:tcW w:w="6090" w:type="dxa"/>
            <w:vAlign w:val="center"/>
          </w:tcPr>
          <w:p w14:paraId="7C2A3544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794C24" w14:paraId="37D805A6" w14:textId="77777777">
        <w:trPr>
          <w:trHeight w:val="412"/>
        </w:trPr>
        <w:tc>
          <w:tcPr>
            <w:tcW w:w="2972" w:type="dxa"/>
            <w:vAlign w:val="center"/>
          </w:tcPr>
          <w:p w14:paraId="16CF6E22" w14:textId="77777777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Vliv 2</w:t>
            </w:r>
          </w:p>
        </w:tc>
        <w:tc>
          <w:tcPr>
            <w:tcW w:w="6090" w:type="dxa"/>
            <w:vAlign w:val="center"/>
          </w:tcPr>
          <w:p w14:paraId="2EC0DC81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Hydrologické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změny - jiné</w:t>
            </w:r>
            <w:proofErr w:type="gramEnd"/>
          </w:p>
        </w:tc>
      </w:tr>
      <w:tr w:rsidR="00794C24" w14:paraId="15DA5824" w14:textId="77777777">
        <w:trPr>
          <w:trHeight w:val="404"/>
        </w:trPr>
        <w:tc>
          <w:tcPr>
            <w:tcW w:w="2972" w:type="dxa"/>
            <w:vAlign w:val="center"/>
          </w:tcPr>
          <w:p w14:paraId="755D8166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1" locked="0" layoutInCell="1" allowOverlap="1" wp14:anchorId="3D6EA942" wp14:editId="59601DDE">
                      <wp:simplePos x="0" y="0"/>
                      <wp:positionH relativeFrom="page">
                        <wp:posOffset>-890905</wp:posOffset>
                      </wp:positionH>
                      <wp:positionV relativeFrom="paragraph">
                        <wp:posOffset>298450</wp:posOffset>
                      </wp:positionV>
                      <wp:extent cx="7609205" cy="4420870"/>
                      <wp:effectExtent l="0" t="0" r="0" b="0"/>
                      <wp:wrapNone/>
                      <wp:docPr id="3" name="Obrázek 1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Obrázek 1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96DAC541-7B7A-43D3-8B79-37D633B846F1}">
                                    <asvg:svgBlip xmlns:asvg="http://schemas.microsoft.com/office/drawing/2016/SVG/main" r:embed="rId9"/>
                                  </a:ext>
                                </a:extLst>
                              </a:blip>
                              <a:stretch/>
                            </pic:blipFill>
                            <pic:spPr bwMode="auto">
                              <a:xfrm>
                                <a:off x="0" y="0"/>
                                <a:ext cx="7609205" cy="44208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a="http://schemas.openxmlformats.org/drawingml/2006/main"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i2" o:spid="_x0000_s2" type="#_x0000_t75" style="position:absolute;z-index:-251667456;o:allowoverlap:true;o:allowincell:true;mso-position-horizontal-relative:page;margin-left:-70.15pt;mso-position-horizontal:absolute;mso-position-vertical-relative:text;margin-top:23.50pt;mso-position-vertical:absolute;width:599.15pt;height:348.10pt;mso-wrap-distance-left:9.00pt;mso-wrap-distance-top:0.00pt;mso-wrap-distance-right:9.00pt;mso-wrap-distance-bottom:0.00pt;z-index:1;" stroked="f">
                      <v:imagedata r:id="rId12" o:title=""/>
                      <o:lock v:ext="edit" rotation="t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vAlign w:val="center"/>
          </w:tcPr>
          <w:p w14:paraId="1F3A2CEE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Opatření za účelem zadržování přírodní vody.</w:t>
            </w:r>
          </w:p>
        </w:tc>
      </w:tr>
      <w:tr w:rsidR="00794C24" w14:paraId="6B5CF87E" w14:textId="77777777">
        <w:trPr>
          <w:trHeight w:val="404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7420F6" w14:textId="77777777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6216CF0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Přizpůsobení se změně klimatu.</w:t>
            </w:r>
          </w:p>
        </w:tc>
      </w:tr>
      <w:tr w:rsidR="00794C24" w14:paraId="2A431D2E" w14:textId="77777777">
        <w:trPr>
          <w:trHeight w:val="63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8B5FAA6" w14:textId="77777777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85D9C54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Efektivnost využívání vody, technická opatření pro zavlažování, průmysl, energetiku a domácnosti.</w:t>
            </w:r>
          </w:p>
        </w:tc>
      </w:tr>
      <w:tr w:rsidR="00794C24" w14:paraId="5EEC539B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BC33F4E" w14:textId="77777777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C608C1F" w14:textId="7777777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5C95FED4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B50530D" w14:textId="77777777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38EE939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kvantitativní stav útvaru podzemní vody</w:t>
            </w:r>
          </w:p>
        </w:tc>
      </w:tr>
      <w:tr w:rsidR="00794C24" w14:paraId="7353FE5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5E0407" w14:textId="77777777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ECD416F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Povodí Ohře, státní podnik</w:t>
            </w:r>
          </w:p>
        </w:tc>
      </w:tr>
      <w:tr w:rsidR="00794C24" w14:paraId="029A4F10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8512BBA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D07782D" w14:textId="7777777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1F36D715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D7BDD3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investiční celkem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9A3D85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153670  </w:t>
            </w:r>
          </w:p>
        </w:tc>
      </w:tr>
      <w:tr w:rsidR="00794C24" w14:paraId="06E22AD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5E60A36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5227B55" w14:textId="7777777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35B3DF67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9183F2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27FA398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státní rozpočet + dotace</w:t>
            </w:r>
          </w:p>
        </w:tc>
      </w:tr>
      <w:tr w:rsidR="00794C24" w14:paraId="6F0FDFC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8E3C72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BB1CCEF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794C24" w14:paraId="383B9480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082E41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7E35B8B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jiné překážky</w:t>
            </w:r>
          </w:p>
        </w:tc>
      </w:tr>
      <w:tr w:rsidR="00794C24" w14:paraId="2BAE5FC6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BCC465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44FC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794C24" w14:paraId="11FF5178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B9CFBCE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074F59D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794C24" w14:paraId="0DF88893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E51C5F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27E2FB2" w14:textId="7777777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7BE9354B" w14:textId="77777777">
        <w:trPr>
          <w:trHeight w:val="300"/>
        </w:trPr>
        <w:tc>
          <w:tcPr>
            <w:tcW w:w="2972" w:type="dxa"/>
            <w:vAlign w:val="center"/>
          </w:tcPr>
          <w:p w14:paraId="129C18C4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096ED4DF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Doupovské hory, EVL Hradiště</w:t>
            </w:r>
          </w:p>
        </w:tc>
      </w:tr>
      <w:tr w:rsidR="00794C24" w14:paraId="698912CE" w14:textId="77777777">
        <w:trPr>
          <w:trHeight w:val="300"/>
        </w:trPr>
        <w:tc>
          <w:tcPr>
            <w:tcW w:w="2972" w:type="dxa"/>
            <w:vAlign w:val="center"/>
          </w:tcPr>
          <w:p w14:paraId="3CAE669F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Lokalizace vlivu 1 </w:t>
            </w:r>
          </w:p>
        </w:tc>
        <w:tc>
          <w:tcPr>
            <w:tcW w:w="6090" w:type="dxa"/>
            <w:noWrap/>
            <w:vAlign w:val="center"/>
          </w:tcPr>
          <w:p w14:paraId="09A3BCA7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IDVT 10100062</w:t>
            </w:r>
          </w:p>
        </w:tc>
      </w:tr>
      <w:tr w:rsidR="00794C24" w14:paraId="6C873497" w14:textId="77777777">
        <w:trPr>
          <w:trHeight w:val="300"/>
        </w:trPr>
        <w:tc>
          <w:tcPr>
            <w:tcW w:w="2972" w:type="dxa"/>
            <w:vAlign w:val="center"/>
          </w:tcPr>
          <w:p w14:paraId="4AA35542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Lokalizace vlivu 2</w:t>
            </w:r>
          </w:p>
        </w:tc>
        <w:tc>
          <w:tcPr>
            <w:tcW w:w="6090" w:type="dxa"/>
            <w:noWrap/>
            <w:vAlign w:val="center"/>
          </w:tcPr>
          <w:p w14:paraId="770A9872" w14:textId="7777777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497EFB8A" w14:textId="77777777">
        <w:trPr>
          <w:trHeight w:val="300"/>
        </w:trPr>
        <w:tc>
          <w:tcPr>
            <w:tcW w:w="2972" w:type="dxa"/>
            <w:vAlign w:val="center"/>
          </w:tcPr>
          <w:p w14:paraId="19F96358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Způsob hodnocení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realizovanosti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0F64DC65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Podíl (%) délky úseků toků, na nichž jsou realizována opatření, na celkové délce</w:t>
            </w:r>
          </w:p>
          <w:p w14:paraId="2B67D5BA" w14:textId="7777777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4C24" w14:paraId="2924635D" w14:textId="77777777">
        <w:trPr>
          <w:trHeight w:val="42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2784B51A" w14:textId="77777777" w:rsidR="00794C24" w:rsidRDefault="008C5DD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Parametry opatření</w:t>
            </w:r>
          </w:p>
        </w:tc>
      </w:tr>
      <w:tr w:rsidR="00794C24" w14:paraId="6DDC8CCE" w14:textId="77777777">
        <w:trPr>
          <w:trHeight w:val="3566"/>
        </w:trPr>
        <w:tc>
          <w:tcPr>
            <w:tcW w:w="2972" w:type="dxa"/>
            <w:vMerge w:val="restart"/>
            <w:vAlign w:val="center"/>
          </w:tcPr>
          <w:p w14:paraId="7404B41C" w14:textId="579883A3" w:rsidR="00794C24" w:rsidRDefault="008C5DD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</w:tcPr>
          <w:p w14:paraId="737E8164" w14:textId="77777777" w:rsidR="00794C24" w:rsidRDefault="008C5D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Povodí Blšanky, pravostranného přítoku Ohře pod Žatcem, je dlouhodobě jedním z nejsušších v Česku. Spolu  se sousedním povodím Rakovnického potoka v povodí  Berounky se setrvale potýká s nedostatkem vody ve vodních tocích, a tím               i špatnou dostupností vody pro uživatele (zemědělství, průmysl). Standardem jsou pravidelné  zákazy odběrů vody v letním období. V posledních letech vyústila do záměru vybudovat v ohrožené oblasti opatření (část v povodí Blšanky, část v povodí Rakovnického potoka), která vylepší vodní bilanci v oblasti a zlepší dostupnost vody. </w:t>
            </w:r>
          </w:p>
          <w:p w14:paraId="5736D6D5" w14:textId="77777777" w:rsidR="00794C24" w:rsidRDefault="008C5D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Usnesení vlády č. 256 ze dne 15. dubna 2019, o návrhu komplexního řešení sucha, ukládá úkoly v souvislosti s komplexním řešením sucha v ohrožených oblastech. Jedná se o technická                  a přírodě blízká opatření. Opatření nyní připravují státní podniky Povodí Ohře a Povodí Vltavy.</w:t>
            </w:r>
          </w:p>
        </w:tc>
      </w:tr>
      <w:tr w:rsidR="00794C24" w14:paraId="24A8A448" w14:textId="77777777">
        <w:trPr>
          <w:trHeight w:val="1965"/>
        </w:trPr>
        <w:tc>
          <w:tcPr>
            <w:tcW w:w="2972" w:type="dxa"/>
            <w:vMerge/>
            <w:vAlign w:val="center"/>
          </w:tcPr>
          <w:p w14:paraId="4112BC76" w14:textId="77777777" w:rsidR="00794C24" w:rsidRDefault="00794C2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6D4DE00" w14:textId="4EAA0191" w:rsidR="00794C24" w:rsidRDefault="008C5DD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Cíl: </w:t>
            </w:r>
            <w:r>
              <w:rPr>
                <w:rFonts w:ascii="Arial" w:hAnsi="Arial" w:cs="Arial"/>
                <w:sz w:val="20"/>
                <w:szCs w:val="20"/>
              </w:rPr>
              <w:t xml:space="preserve">Vodní dílo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Mukoděly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bude zmírňovat hydrologické extrémy na Blšance a přispěje k řízení hospodaření s vodou v rámci VH soustavy v území. Bude plnit protipovodňovou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funkci - transformovat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povodňové průtoky v rámci ochrany Kryr a dalších obcí na Blšance a dále bude zdrojem vody zajišťujícím potřeby vody v povodí Blšanky a Rakovnického potoka. V období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2026 - 2035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proběhne první část přípravy této stavby, tj. zpracování předprojektové přípravy.</w:t>
            </w:r>
          </w:p>
        </w:tc>
      </w:tr>
      <w:tr w:rsidR="00794C24" w14:paraId="4A26FD76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4B31B38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  <w:p w14:paraId="162834F9" w14:textId="77777777" w:rsidR="00794C24" w:rsidRDefault="00794C2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F84F13A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794C24" w14:paraId="4D77F1BD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D664F8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FEC5469" w14:textId="2066E987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86F2392" w14:textId="2719B2FE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2028</w:t>
            </w:r>
          </w:p>
        </w:tc>
      </w:tr>
      <w:tr w:rsidR="00794C24" w14:paraId="15E88950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D81B77B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6898AA" w14:textId="1FF470AC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BB58753" w14:textId="7F934B60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2044</w:t>
            </w:r>
          </w:p>
        </w:tc>
      </w:tr>
      <w:tr w:rsidR="00794C24" w14:paraId="44BE6213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E881FB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6CF2B56" w14:textId="50BF9A5C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2046</w:t>
            </w:r>
          </w:p>
        </w:tc>
      </w:tr>
      <w:tr w:rsidR="00794C24" w14:paraId="4EFD803B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C558F4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BF2719D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 </w:t>
            </w:r>
          </w:p>
        </w:tc>
      </w:tr>
      <w:tr w:rsidR="00794C24" w14:paraId="587188F6" w14:textId="77777777">
        <w:trPr>
          <w:trHeight w:val="392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6E2D3C5C" w14:textId="0308F7C8" w:rsidR="00794C24" w:rsidRDefault="008C5DD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2027 až 2033</w:t>
            </w:r>
          </w:p>
        </w:tc>
      </w:tr>
      <w:tr w:rsidR="00794C24" w14:paraId="4F56093D" w14:textId="77777777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A022CE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863FFB9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794C24" w14:paraId="013E2BD7" w14:textId="77777777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2AD495F" w14:textId="7777777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              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CE47DAE" w14:textId="61919842" w:rsidR="00794C24" w:rsidRDefault="00794C2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4B65095" w14:textId="77777777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</w:p>
        </w:tc>
      </w:tr>
      <w:tr w:rsidR="00794C24" w14:paraId="67BFE315" w14:textId="77777777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248410" w14:textId="298AF7D7" w:rsidR="00794C24" w:rsidRDefault="008C5DD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2027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2126BD7" w14:textId="5352C11B" w:rsidR="00794C24" w:rsidRDefault="008C5DD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47777D83" w14:textId="10FEFA28" w:rsidR="00794C24" w:rsidRDefault="008C5DD8">
      <w:r>
        <w:rPr>
          <w:noProof/>
        </w:rPr>
        <w:drawing>
          <wp:anchor distT="0" distB="0" distL="114300" distR="114300" simplePos="0" relativeHeight="251665408" behindDoc="1" locked="0" layoutInCell="1" allowOverlap="1" wp14:anchorId="5766C622" wp14:editId="768A0986">
            <wp:simplePos x="0" y="0"/>
            <wp:positionH relativeFrom="page">
              <wp:posOffset>-43180</wp:posOffset>
            </wp:positionH>
            <wp:positionV relativeFrom="paragraph">
              <wp:posOffset>-3120846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2889017" name="Obrázek 10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94C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0C5287BE" w16cex:dateUtc="2026-01-08T10:37:52Z"/>
  <w16cex:commentExtensible w16cex:durableId="4901B85A" w16cex:dateUtc="2026-01-08T10:38:24Z"/>
  <w16cex:commentExtensible w16cex:durableId="36837AE7" w16cex:dateUtc="2026-01-08T10:38:32Z"/>
  <w16cex:commentExtensible w16cex:durableId="6823740D" w16cex:dateUtc="2026-01-08T10:37:34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19C8D" w14:textId="77777777" w:rsidR="00794C24" w:rsidRDefault="008C5DD8">
      <w:pPr>
        <w:spacing w:after="0" w:line="240" w:lineRule="auto"/>
      </w:pPr>
      <w:r>
        <w:separator/>
      </w:r>
    </w:p>
  </w:endnote>
  <w:endnote w:type="continuationSeparator" w:id="0">
    <w:p w14:paraId="313FBEF7" w14:textId="77777777" w:rsidR="00794C24" w:rsidRDefault="008C5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2AFE0" w14:textId="77777777" w:rsidR="00271024" w:rsidRDefault="0027102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7DCF1" w14:textId="77777777" w:rsidR="00794C24" w:rsidRDefault="008C5DD8">
    <w:pPr>
      <w:pStyle w:val="Zpat"/>
      <w:rPr>
        <w:color w:val="0070C0"/>
      </w:rPr>
    </w:pPr>
    <w:r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AFB4BF9" wp14:editId="459E6CAB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BF9CEF8" w14:textId="77777777" w:rsidR="00794C24" w:rsidRDefault="008C5DD8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B4BF9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BF9CEF8" w14:textId="77777777" w:rsidR="00794C24" w:rsidRDefault="008C5DD8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4FCAA" w14:textId="77777777" w:rsidR="00271024" w:rsidRDefault="0027102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5D1B0" w14:textId="77777777" w:rsidR="00794C24" w:rsidRDefault="008C5DD8">
      <w:pPr>
        <w:spacing w:after="0" w:line="240" w:lineRule="auto"/>
      </w:pPr>
      <w:r>
        <w:separator/>
      </w:r>
    </w:p>
  </w:footnote>
  <w:footnote w:type="continuationSeparator" w:id="0">
    <w:p w14:paraId="1DCA45B9" w14:textId="77777777" w:rsidR="00794C24" w:rsidRDefault="008C5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C58C0" w14:textId="77777777" w:rsidR="00271024" w:rsidRDefault="0027102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324AE" w14:textId="2ACD10A5" w:rsidR="00794C24" w:rsidRDefault="008C5DD8">
    <w:pPr>
      <w:pStyle w:val="Zhlav"/>
      <w:rPr>
        <w:rFonts w:ascii="Arial" w:hAnsi="Arial" w:cs="Arial"/>
        <w:b/>
        <w:color w:val="3296DA"/>
      </w:rPr>
    </w:pPr>
    <w:r>
      <w:rPr>
        <w:rFonts w:ascii="Arial" w:hAnsi="Arial" w:cs="Arial"/>
        <w:b/>
        <w:noProof/>
        <w:color w:val="153553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CCBE331" wp14:editId="54D7844C">
              <wp:simplePos x="0" y="0"/>
              <wp:positionH relativeFrom="margin">
                <wp:align>left</wp:align>
              </wp:positionH>
              <wp:positionV relativeFrom="paragraph">
                <wp:posOffset>-306705</wp:posOffset>
              </wp:positionV>
              <wp:extent cx="593725" cy="751205"/>
              <wp:effectExtent l="0" t="0" r="0" b="0"/>
              <wp:wrapNone/>
              <wp:docPr id="1" name="Obrázek 3" descr="C:\Users\Vlkova\AppData\Local\Temp\notesD4248F\logotyp_symbol.bmp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Vlkova\AppData\Local\Temp\notesD4248F\logotyp_symbol.bmp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3725" cy="751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-251660288;o:allowoverlap:true;o:allowincell:true;mso-position-horizontal-relative:margin;mso-position-horizontal:left;mso-position-vertical-relative:text;margin-top:-24.15pt;mso-position-vertical:absolute;width:46.75pt;height:59.1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Fonts w:ascii="Arial" w:hAnsi="Arial" w:cs="Arial"/>
        <w:b/>
        <w:color w:val="153553"/>
      </w:rPr>
      <w:t xml:space="preserve">               </w:t>
    </w:r>
    <w:r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>
      <w:rPr>
        <w:rFonts w:ascii="Arial" w:hAnsi="Arial" w:cs="Arial"/>
        <w:b/>
        <w:color w:val="3296DA"/>
      </w:rPr>
      <w:t>202</w:t>
    </w:r>
    <w:r w:rsidR="00271024">
      <w:rPr>
        <w:rFonts w:ascii="Arial" w:hAnsi="Arial" w:cs="Arial"/>
        <w:b/>
        <w:color w:val="3296DA"/>
      </w:rPr>
      <w:t>7</w:t>
    </w:r>
    <w:r>
      <w:rPr>
        <w:rFonts w:ascii="Arial" w:hAnsi="Arial" w:cs="Arial"/>
        <w:b/>
        <w:color w:val="3296DA"/>
      </w:rPr>
      <w:t xml:space="preserve"> – </w:t>
    </w:r>
    <w:r>
      <w:rPr>
        <w:rFonts w:ascii="Arial" w:hAnsi="Arial" w:cs="Arial"/>
        <w:b/>
        <w:color w:val="3296DA"/>
      </w:rPr>
      <w:t>20</w:t>
    </w:r>
    <w:r w:rsidR="00271024">
      <w:rPr>
        <w:rFonts w:ascii="Arial" w:hAnsi="Arial" w:cs="Arial"/>
        <w:b/>
        <w:color w:val="3296DA"/>
      </w:rPr>
      <w:t>33</w:t>
    </w:r>
    <w:bookmarkStart w:id="1" w:name="_GoBack"/>
    <w:bookmarkEnd w:id="1"/>
    <w:proofErr w:type="gramEnd"/>
    <w:r>
      <w:rPr>
        <w:rFonts w:ascii="Arial" w:hAnsi="Arial" w:cs="Arial"/>
        <w:b/>
        <w:color w:val="3296DA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F7189" w14:textId="77777777" w:rsidR="00271024" w:rsidRDefault="0027102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multilevel"/>
    <w:tmpl w:val="AFA0128C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multilevel"/>
    <w:tmpl w:val="F3AA47EE"/>
    <w:lvl w:ilvl="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multilevel"/>
    <w:tmpl w:val="EFD6AE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24"/>
    <w:rsid w:val="00271024"/>
    <w:rsid w:val="003900C3"/>
    <w:rsid w:val="00794C24"/>
    <w:rsid w:val="008C5DD8"/>
    <w:rsid w:val="00C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DB00A"/>
  <w15:docId w15:val="{72DFA61F-E884-4F09-9A03-1629EA7F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GridLight">
    <w:name w:val="Table Grid Light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rosttabulka1">
    <w:name w:val="Plain Table 1"/>
    <w:basedOn w:val="Normlntabulk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rosttabulka2">
    <w:name w:val="Plain Table 2"/>
    <w:basedOn w:val="Normlntabulk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rosttabulka3">
    <w:name w:val="Plain Table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4">
    <w:name w:val="Plain Table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rosttabulka5">
    <w:name w:val="Plain Table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tltabulkasmkou1">
    <w:name w:val="Grid Table 1 Light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ulkasmkou2">
    <w:name w:val="Grid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3">
    <w:name w:val="Grid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ulkasmkou4">
    <w:name w:val="Grid Table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lntabulk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mavtabulkasmkou5">
    <w:name w:val="Grid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Barevntabulkasmkou6">
    <w:name w:val="Grid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Barevntabulkasmkou7">
    <w:name w:val="Grid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Svtltabulkaseznamu1">
    <w:name w:val="List Table 1 Light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lntabulk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2">
    <w:name w:val="List Table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ulkaseznamu3">
    <w:name w:val="List Table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ulkaseznamu4">
    <w:name w:val="List Table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mavtabulkaseznamu5">
    <w:name w:val="List Table 5 Dark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Barevntabulkaseznamu6">
    <w:name w:val="List Table 6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Barevntabulkaseznamu7">
    <w:name w:val="List Table 7 Colorful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lntabulka"/>
    <w:uiPriority w:val="99"/>
    <w:pPr>
      <w:spacing w:after="0" w:line="240" w:lineRule="auto"/>
    </w:pPr>
    <w:rPr>
      <w:color w:val="404040"/>
      <w:sz w:val="20"/>
      <w:szCs w:val="20"/>
      <w:lang w:eastAsia="cs-CZ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lntabulk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Nadpis1Char">
    <w:name w:val="Nadpis 1 Char"/>
    <w:basedOn w:val="Standardnpsmoodstavce"/>
    <w:link w:val="Nadpis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Pr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Pr>
      <w:i/>
      <w:iCs/>
      <w:color w:val="404040" w:themeColor="text1" w:themeTint="BF"/>
    </w:rPr>
  </w:style>
  <w:style w:type="character" w:styleId="Zdraznnintenzivn">
    <w:name w:val="Intense Emphasis"/>
    <w:basedOn w:val="Standardnpsmoodstavce"/>
    <w:uiPriority w:val="21"/>
    <w:qFormat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Bezmezer">
    <w:name w:val="No Spacing"/>
    <w:basedOn w:val="Normln"/>
    <w:uiPriority w:val="1"/>
    <w:qFormat/>
    <w:pPr>
      <w:spacing w:after="0" w:line="240" w:lineRule="auto"/>
    </w:pPr>
  </w:style>
  <w:style w:type="character" w:styleId="Zdraznnjemn">
    <w:name w:val="Subtle Emphasis"/>
    <w:basedOn w:val="Standardnpsmoodstavce"/>
    <w:uiPriority w:val="19"/>
    <w:qFormat/>
    <w:rPr>
      <w:i/>
      <w:iCs/>
      <w:color w:val="404040" w:themeColor="text1" w:themeTint="BF"/>
    </w:rPr>
  </w:style>
  <w:style w:type="character" w:styleId="Zdraznn">
    <w:name w:val="Emphasis"/>
    <w:basedOn w:val="Standardnpsmoodstavce"/>
    <w:uiPriority w:val="20"/>
    <w:qFormat/>
    <w:rPr>
      <w:i/>
      <w:iCs/>
    </w:rPr>
  </w:style>
  <w:style w:type="character" w:styleId="Siln">
    <w:name w:val="Strong"/>
    <w:basedOn w:val="Standardnpsmoodstavce"/>
    <w:uiPriority w:val="22"/>
    <w:qFormat/>
    <w:rPr>
      <w:b/>
      <w:bCs/>
    </w:rPr>
  </w:style>
  <w:style w:type="character" w:styleId="Odkazjemn">
    <w:name w:val="Subtle Reference"/>
    <w:basedOn w:val="Standardnpsmoodstavce"/>
    <w:uiPriority w:val="31"/>
    <w:qFormat/>
    <w:rPr>
      <w:smallCaps/>
      <w:color w:val="5A5A5A" w:themeColor="text1" w:themeTint="A5"/>
    </w:rPr>
  </w:style>
  <w:style w:type="character" w:styleId="Nzevknihy">
    <w:name w:val="Book Title"/>
    <w:basedOn w:val="Standardnpsmoodstavce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Standardnpsmoodstavce"/>
    <w:uiPriority w:val="99"/>
  </w:style>
  <w:style w:type="character" w:customStyle="1" w:styleId="FooterChar">
    <w:name w:val="Footer Char"/>
    <w:basedOn w:val="Standardnpsmoodstavce"/>
    <w:uiPriority w:val="99"/>
  </w:style>
  <w:style w:type="paragraph" w:styleId="Titulek">
    <w:name w:val="caption"/>
    <w:basedOn w:val="Normln"/>
    <w:next w:val="Normln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styleId="Textvysvtlivek">
    <w:name w:val="endnote text"/>
    <w:basedOn w:val="Normln"/>
    <w:link w:val="Textvysvtlivek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Pr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Pr>
      <w:color w:val="954F72" w:themeColor="followedHyperlink"/>
      <w:u w:val="single"/>
    </w:rPr>
  </w:style>
  <w:style w:type="paragraph" w:styleId="Obsah1">
    <w:name w:val="toc 1"/>
    <w:basedOn w:val="Normln"/>
    <w:next w:val="Normln"/>
    <w:uiPriority w:val="39"/>
    <w:unhideWhenUsed/>
    <w:pPr>
      <w:spacing w:after="100"/>
    </w:pPr>
  </w:style>
  <w:style w:type="paragraph" w:styleId="Obsah2">
    <w:name w:val="toc 2"/>
    <w:basedOn w:val="Normln"/>
    <w:next w:val="Normln"/>
    <w:uiPriority w:val="39"/>
    <w:unhideWhenUsed/>
    <w:pPr>
      <w:spacing w:after="100"/>
      <w:ind w:left="220"/>
    </w:pPr>
  </w:style>
  <w:style w:type="paragraph" w:styleId="Obsah3">
    <w:name w:val="toc 3"/>
    <w:basedOn w:val="Normln"/>
    <w:next w:val="Normln"/>
    <w:uiPriority w:val="39"/>
    <w:unhideWhenUsed/>
    <w:pPr>
      <w:spacing w:after="100"/>
      <w:ind w:left="440"/>
    </w:pPr>
  </w:style>
  <w:style w:type="paragraph" w:styleId="Obsah4">
    <w:name w:val="toc 4"/>
    <w:basedOn w:val="Normln"/>
    <w:next w:val="Normln"/>
    <w:uiPriority w:val="39"/>
    <w:unhideWhenUsed/>
    <w:pPr>
      <w:spacing w:after="100"/>
      <w:ind w:left="660"/>
    </w:pPr>
  </w:style>
  <w:style w:type="paragraph" w:styleId="Obsah5">
    <w:name w:val="toc 5"/>
    <w:basedOn w:val="Normln"/>
    <w:next w:val="Normln"/>
    <w:uiPriority w:val="39"/>
    <w:unhideWhenUsed/>
    <w:pPr>
      <w:spacing w:after="100"/>
      <w:ind w:left="880"/>
    </w:pPr>
  </w:style>
  <w:style w:type="paragraph" w:styleId="Obsah6">
    <w:name w:val="toc 6"/>
    <w:basedOn w:val="Normln"/>
    <w:next w:val="Normln"/>
    <w:uiPriority w:val="39"/>
    <w:unhideWhenUsed/>
    <w:pPr>
      <w:spacing w:after="100"/>
      <w:ind w:left="1100"/>
    </w:pPr>
  </w:style>
  <w:style w:type="paragraph" w:styleId="Obsah7">
    <w:name w:val="toc 7"/>
    <w:basedOn w:val="Normln"/>
    <w:next w:val="Normln"/>
    <w:uiPriority w:val="39"/>
    <w:unhideWhenUsed/>
    <w:pPr>
      <w:spacing w:after="100"/>
      <w:ind w:left="1320"/>
    </w:pPr>
  </w:style>
  <w:style w:type="paragraph" w:styleId="Obsah8">
    <w:name w:val="toc 8"/>
    <w:basedOn w:val="Normln"/>
    <w:next w:val="Normln"/>
    <w:uiPriority w:val="39"/>
    <w:unhideWhenUsed/>
    <w:pPr>
      <w:spacing w:after="100"/>
      <w:ind w:left="1540"/>
    </w:pPr>
  </w:style>
  <w:style w:type="paragraph" w:styleId="Obsah9">
    <w:name w:val="toc 9"/>
    <w:basedOn w:val="Normln"/>
    <w:next w:val="Normln"/>
    <w:uiPriority w:val="39"/>
    <w:unhideWhenUsed/>
    <w:pPr>
      <w:spacing w:after="100"/>
      <w:ind w:left="1760"/>
    </w:pPr>
  </w:style>
  <w:style w:type="character" w:styleId="Zstupntext">
    <w:name w:val="Placeholder Text"/>
    <w:basedOn w:val="Standardnpsmoodstavce"/>
    <w:uiPriority w:val="99"/>
    <w:semiHidden/>
    <w:rPr>
      <w:color w:val="666666"/>
    </w:rPr>
  </w:style>
  <w:style w:type="paragraph" w:styleId="Nadpisobsahu">
    <w:name w:val="TOC Heading"/>
    <w:uiPriority w:val="39"/>
    <w:unhideWhenUsed/>
  </w:style>
  <w:style w:type="paragraph" w:styleId="Seznamobrzk">
    <w:name w:val="table of figures"/>
    <w:basedOn w:val="Normln"/>
    <w:next w:val="Normln"/>
    <w:uiPriority w:val="99"/>
    <w:unhideWhenUsed/>
    <w:pPr>
      <w:spacing w:after="0"/>
    </w:pPr>
  </w:style>
  <w:style w:type="table" w:styleId="Mkatabulky">
    <w:name w:val="Table Grid"/>
    <w:basedOn w:val="Normlntabulka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</w:style>
  <w:style w:type="paragraph" w:styleId="Zpat">
    <w:name w:val="footer"/>
    <w:basedOn w:val="Normln"/>
    <w:link w:val="Zpat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</w:style>
  <w:style w:type="paragraph" w:styleId="Textkomente">
    <w:name w:val="annotation text"/>
    <w:basedOn w:val="Normln"/>
    <w:link w:val="Textkomente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C5D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C5D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BD8823-CED4-4930-ADC9-5E876BBB6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506</Words>
  <Characters>2990</Characters>
  <Application>Microsoft Office Word</Application>
  <DocSecurity>0</DocSecurity>
  <Lines>24</Lines>
  <Paragraphs>6</Paragraphs>
  <ScaleCrop>false</ScaleCrop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20</cp:revision>
  <dcterms:created xsi:type="dcterms:W3CDTF">2021-06-08T07:52:00Z</dcterms:created>
  <dcterms:modified xsi:type="dcterms:W3CDTF">2026-04-14T08:48:00Z</dcterms:modified>
</cp:coreProperties>
</file>